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48" w:rsidRPr="001E202D" w:rsidRDefault="00DC5E48" w:rsidP="00DC5E48">
      <w:pPr>
        <w:spacing w:before="150" w:after="150" w:line="450" w:lineRule="atLeast"/>
        <w:jc w:val="center"/>
        <w:outlineLvl w:val="0"/>
        <w:rPr>
          <w:rFonts w:ascii="Arial" w:eastAsia="Times New Roman" w:hAnsi="Arial" w:cs="Arial"/>
          <w:color w:val="036AA9"/>
          <w:kern w:val="36"/>
          <w:sz w:val="36"/>
          <w:szCs w:val="36"/>
          <w:lang w:eastAsia="ru-RU"/>
        </w:rPr>
      </w:pPr>
      <w:r w:rsidRPr="001E202D">
        <w:rPr>
          <w:rFonts w:ascii="Arial" w:eastAsia="Times New Roman" w:hAnsi="Arial" w:cs="Arial"/>
          <w:color w:val="036AA9"/>
          <w:kern w:val="36"/>
          <w:sz w:val="36"/>
          <w:szCs w:val="36"/>
          <w:lang w:eastAsia="ru-RU"/>
        </w:rPr>
        <w:t>Азбука потребителя: Предоставление услуг жилищно-коммунального хозяйства. Урок № 14. Расчет платы за услуги ЖКХ (индивидуальное потребление) в коммунальной квартире, домовладении</w:t>
      </w:r>
    </w:p>
    <w:p w:rsidR="00DC5E48" w:rsidRPr="001E202D" w:rsidRDefault="00DC5E48" w:rsidP="00DC5E48">
      <w:pPr>
        <w:numPr>
          <w:ilvl w:val="0"/>
          <w:numId w:val="1"/>
        </w:numPr>
        <w:pBdr>
          <w:top w:val="single" w:sz="6" w:space="0" w:color="F0F0F0"/>
          <w:left w:val="single" w:sz="6" w:space="15" w:color="F0F0F0"/>
          <w:bottom w:val="single" w:sz="6" w:space="4" w:color="F0F0F0"/>
          <w:right w:val="single" w:sz="6" w:space="0" w:color="F0F0F0"/>
        </w:pBdr>
        <w:spacing w:after="0" w:line="300" w:lineRule="atLeast"/>
        <w:ind w:left="0"/>
        <w:rPr>
          <w:rFonts w:ascii="Arial" w:eastAsia="Times New Roman" w:hAnsi="Arial" w:cs="Arial"/>
          <w:color w:val="4D4C4C"/>
          <w:sz w:val="21"/>
          <w:szCs w:val="21"/>
          <w:lang w:eastAsia="ru-RU"/>
        </w:rPr>
      </w:pPr>
      <w:r w:rsidRPr="001E202D">
        <w:rPr>
          <w:rFonts w:ascii="Arial" w:eastAsia="Times New Roman" w:hAnsi="Arial" w:cs="Arial"/>
          <w:noProof/>
          <w:color w:val="4B72BC"/>
          <w:sz w:val="21"/>
          <w:szCs w:val="21"/>
          <w:lang w:eastAsia="ru-RU"/>
        </w:rPr>
        <w:drawing>
          <wp:inline distT="0" distB="0" distL="0" distR="0" wp14:anchorId="56F8AABD" wp14:editId="1CBAFA1E">
            <wp:extent cx="2381250" cy="2381250"/>
            <wp:effectExtent l="0" t="0" r="0" b="0"/>
            <wp:docPr id="1" name="Рисунок 1" descr="http://www.fbuz66.ru/UPLOAD/2020/11/27/news_1244_1347_250_2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buz66.ru/UPLOAD/2020/11/27/news_1244_1347_250_2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1. Оплата ХВС, ГВС, водоотведения, газоснабжения.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наличии общего (квартирного) прибора учета – объем потребленной услуги рассчитывается исходя из его показаний.  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отсутствии общего (квартирного) прибора учета и отсутствии технической возможности его установить – объем потребленной услуги рассчитывается исходя из норматива потребления, умноженного на количество всех граждан, постоянно и временно проживающих во всей квартире (формула 7).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Пример расчета оплаты за ХВС при наличии общего (квартирного) прибора учета: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Всего в коммунальной квартире проживает – 13 человек,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В комнате потребителя проживает 2 человека,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Объем ХВС по показаниям квартирного ПУ – 15 куб. м.,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Тариф на ХВС – 35,78 руб./ куб. м.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Расчет оплаты для комнаты потребителя: 15 куб. м.*2чел. /13 чел.* 35,78 руб./куб. м. = 82,56 руб.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Этот же расчет при отсутствии квартирного прибора учета: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proofErr w:type="gram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объем</w:t>
      </w:r>
      <w:proofErr w:type="gram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 потребленного в квартире ХВС по нормативу: 2,90 (норматив куб. м. на 1 чел.) * 13 чел = 37,7 куб. м.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Расчет оплаты для комнаты потребителя: 37,7 куб. м.*2чел/13чел*35,78 руб./</w:t>
      </w:r>
      <w:proofErr w:type="spell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куб.м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. = 207,52 руб.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 отсутствии квартирного прибора учета и наличии обязанности его установить размер оплаты увеличивается на повышающий коэффициент 1.5.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 случае установления двухкомпонентных тарифов на горячую воду объем услуги, потребленной на всю квартиру, будет рассчитываться с учетом компонентов «подача» и «нагрев» (</w:t>
      </w: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см. Урок «Расчет платы за услуги ЖКХ (индивидуальное потребление) в квартире в МКД»</w:t>
      </w: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), а оплата распределяется пропорционально количеству человек, проживающих в комнате потребителя.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В случае отсутствия прибора учета сточных вод объем водоотведения определяется как суммарный объем потребленного ХВС и ГВС.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2. Оплата электроснабжения.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Если в квартире установлен общий (квартирный) прибор учета и все комнаты оборудованы комнатными приборами учета, то расчет производится исходя из их показаний пропорционально количеству проживающих граждан.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Пример расчета: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Всего в коммунальной квартире проживает – 13 человек,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В комнате потребителя проживает 2 человека,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Объем по показаниям общего (квартирного) ПУ – 440 </w:t>
      </w:r>
      <w:proofErr w:type="spellStart"/>
      <w:proofErr w:type="gram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.,</w:t>
      </w:r>
      <w:proofErr w:type="gramEnd"/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Суммарный объем по показания ИПУ во всех комнатах – 380 </w:t>
      </w:r>
      <w:proofErr w:type="spellStart"/>
      <w:proofErr w:type="gram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.,</w:t>
      </w:r>
      <w:proofErr w:type="gramEnd"/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Объем по ИПУ в комнате потребителя – 90 </w:t>
      </w:r>
      <w:proofErr w:type="spellStart"/>
      <w:proofErr w:type="gram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.,</w:t>
      </w:r>
      <w:proofErr w:type="gramEnd"/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Тариф на электроэнергию – 3, 25 руб.,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Расчет оплаты за электроэнергию: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90 </w:t>
      </w:r>
      <w:proofErr w:type="spell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. + (440 </w:t>
      </w:r>
      <w:proofErr w:type="spell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 xml:space="preserve">. – 380 </w:t>
      </w:r>
      <w:proofErr w:type="spellStart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кВтч</w:t>
      </w:r>
      <w:proofErr w:type="spellEnd"/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.) * 2/13) * 3,25 руб. = 322,5 руб.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Если в квартире установлен общий (квартирный) прибор учета, но не все комнаты оборудованы ИПУ, то расчет оплаты осуществляется без учета показаний комнатных приборов по количеству проживающих в квартире. Исключение составляет случаи, если между всеми потребителями в коммунальной квартире достигнуто письменное соглашение о порядке распределение объема электроэнергии, потребленного на общеквартирные нужды. 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Особенности расчета оплата в коммунальной квартире: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1. Порядок расчета оплаты коммунальных услуг на общедомовые нужды и отопление аналогичен порядку расчета, применяемому в МКД </w:t>
      </w:r>
      <w:r w:rsidRPr="001E202D">
        <w:rPr>
          <w:rFonts w:ascii="Times New Roman" w:eastAsia="Times New Roman" w:hAnsi="Times New Roman" w:cs="Times New Roman"/>
          <w:i/>
          <w:iCs/>
          <w:color w:val="4D4C4C"/>
          <w:sz w:val="24"/>
          <w:szCs w:val="24"/>
          <w:lang w:eastAsia="ru-RU"/>
        </w:rPr>
        <w:t>(более подробно см. Стандарт «Особенности оплаты коммунальных услуг на общедомовые нужды).</w:t>
      </w: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Вычисление объема потребленной услуги и расчет оплаты производятся пропорционально площади занимаемой комнаты потребителя к площади коммунальной квартиры.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2. Расчет размера платы за коммунальные услуги, предоставленные потребителям в жилых помещениях в общежитиях коридорного, гостиничного и секционного типа (с наличием на этажах общих кухонь, туалетов или блоков душевых), производится в порядке, установленном для расчета размера платы за коммунальные услуги для потребителей, проживающих в коммунальной квартире.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3. Расчет размера платы за коммунальные услуги, предоставленные потребителям в жилых помещениях в общежитиях квартирного типа, производится в порядке, установленном для расчета размера платы за коммунальные услуги для потребителей, проживающих в жилых помещениях в многоквартирном доме.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b/>
          <w:bCs/>
          <w:color w:val="4D4C4C"/>
          <w:sz w:val="24"/>
          <w:szCs w:val="24"/>
          <w:lang w:eastAsia="ru-RU"/>
        </w:rPr>
        <w:t>Домовладение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В случае оборудования домовладения ИПУ, расчет производится по показаниям ИПУ и установленным тарифам.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Если ИПУ не установлен, то потребителем оплачивается: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lastRenderedPageBreak/>
        <w:t>-  коммунальная услуга, предоставленная в жилом помещении, исходя из нормативов потребления с применением повышающих коэффициентов при наличии обязанности установить ИПУ,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Пример расчета оплаты за отопление: норматив потребления – 0,033 Гкал/кв. м., тариф – 1315,97 руб., площадь дома – 120 кв. м. Оплата составит: 120*0,033*1315,97 = 5211,2 руб.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 </w:t>
      </w:r>
    </w:p>
    <w:p w:rsidR="00DC5E48" w:rsidRPr="001E202D" w:rsidRDefault="00DC5E48" w:rsidP="00DC5E48">
      <w:pPr>
        <w:spacing w:before="150" w:after="150" w:line="330" w:lineRule="atLeast"/>
        <w:ind w:firstLine="510"/>
        <w:contextualSpacing/>
        <w:mirrorIndents/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</w:pPr>
      <w:r w:rsidRPr="001E202D">
        <w:rPr>
          <w:rFonts w:ascii="Times New Roman" w:eastAsia="Times New Roman" w:hAnsi="Times New Roman" w:cs="Times New Roman"/>
          <w:color w:val="4D4C4C"/>
          <w:sz w:val="24"/>
          <w:szCs w:val="24"/>
          <w:lang w:eastAsia="ru-RU"/>
        </w:rPr>
        <w:t>- коммунальная услуга, предоставленная при использовании земельного участка и надворных построек на нем, исходя из нормативов потребления (формула 22).</w:t>
      </w:r>
    </w:p>
    <w:p w:rsidR="00DC5E48" w:rsidRPr="001E202D" w:rsidRDefault="00DC5E48" w:rsidP="00DC5E48">
      <w:pPr>
        <w:spacing w:before="150" w:after="150" w:line="450" w:lineRule="atLeast"/>
        <w:ind w:firstLine="510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color w:val="036AA9"/>
          <w:kern w:val="36"/>
          <w:sz w:val="24"/>
          <w:szCs w:val="24"/>
          <w:lang w:eastAsia="ru-RU"/>
        </w:rPr>
      </w:pPr>
    </w:p>
    <w:p w:rsidR="0034251E" w:rsidRDefault="0034251E">
      <w:bookmarkStart w:id="0" w:name="_GoBack"/>
      <w:bookmarkEnd w:id="0"/>
    </w:p>
    <w:sectPr w:rsidR="0034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745"/>
    <w:multiLevelType w:val="multilevel"/>
    <w:tmpl w:val="E2D2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0"/>
    <w:rsid w:val="00191CD0"/>
    <w:rsid w:val="0034251E"/>
    <w:rsid w:val="00D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2B61F-0216-4CC5-B57F-D5B74A43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buz66.ru/UPLOAD/2020/11/27/news_1244_1347_500_5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2</cp:revision>
  <dcterms:created xsi:type="dcterms:W3CDTF">2020-12-09T04:06:00Z</dcterms:created>
  <dcterms:modified xsi:type="dcterms:W3CDTF">2020-12-09T04:06:00Z</dcterms:modified>
</cp:coreProperties>
</file>